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74" w:rsidRDefault="00C26F03">
      <w:pPr>
        <w:pStyle w:val="Pagedecouverture"/>
        <w:rPr>
          <w:noProof/>
        </w:rPr>
      </w:pPr>
      <w:bookmarkStart w:id="0" w:name="LW_BM_COVERPAGE"/>
      <w:bookmarkStart w:id="1" w:name="_GoBack"/>
      <w:bookmarkEnd w:id="1"/>
      <w:r>
        <w:rPr>
          <w:noProof/>
        </w:rPr>
        <w:drawing>
          <wp:inline distT="0" distB="0" distL="0" distR="0">
            <wp:extent cx="5725160" cy="4993640"/>
            <wp:effectExtent l="0" t="0" r="0" b="0"/>
            <wp:docPr id="1" name="Immagine 1" descr="57D8B68E-6ECA-489C-89FF-3126D3DF0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7D8B68E-6ECA-489C-89FF-3126D3DF019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160" cy="4993640"/>
                    </a:xfrm>
                    <a:prstGeom prst="rect">
                      <a:avLst/>
                    </a:prstGeom>
                    <a:noFill/>
                    <a:ln>
                      <a:noFill/>
                    </a:ln>
                  </pic:spPr>
                </pic:pic>
              </a:graphicData>
            </a:graphic>
          </wp:inline>
        </w:drawing>
      </w:r>
    </w:p>
    <w:bookmarkEnd w:id="0"/>
    <w:p w:rsidR="00007974" w:rsidRDefault="00007974">
      <w:pPr>
        <w:rPr>
          <w:noProof/>
        </w:rPr>
        <w:sectPr w:rsidR="0000797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007974" w:rsidRDefault="00536B95">
      <w:pPr>
        <w:pStyle w:val="Text1"/>
        <w:spacing w:after="120"/>
        <w:jc w:val="center"/>
        <w:rPr>
          <w:b/>
          <w:noProof/>
          <w:szCs w:val="24"/>
        </w:rPr>
      </w:pPr>
      <w:r>
        <w:rPr>
          <w:b/>
          <w:noProof/>
        </w:rPr>
        <w:lastRenderedPageBreak/>
        <w:t>Allegato della comunicazione sul Green Deal europeo</w:t>
      </w:r>
    </w:p>
    <w:p w:rsidR="00007974" w:rsidRDefault="00536B95">
      <w:pPr>
        <w:pStyle w:val="Text1"/>
        <w:spacing w:after="120"/>
        <w:jc w:val="center"/>
        <w:rPr>
          <w:b/>
          <w:noProof/>
          <w:szCs w:val="24"/>
        </w:rPr>
      </w:pPr>
      <w:r>
        <w:rPr>
          <w:b/>
          <w:noProof/>
        </w:rPr>
        <w:t>Tabella di marcia — Azioni chiave</w:t>
      </w:r>
    </w:p>
    <w:p w:rsidR="00007974" w:rsidRDefault="00007974">
      <w:pPr>
        <w:pStyle w:val="Text1"/>
        <w:spacing w:after="120"/>
        <w:jc w:val="center"/>
        <w:rPr>
          <w:b/>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73"/>
        <w:gridCol w:w="2069"/>
      </w:tblGrid>
      <w:tr w:rsidR="00007974">
        <w:trPr>
          <w:tblHeader/>
        </w:trPr>
        <w:tc>
          <w:tcPr>
            <w:tcW w:w="3856" w:type="pct"/>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007974" w:rsidRDefault="00536B95">
            <w:pPr>
              <w:pStyle w:val="Text1"/>
              <w:spacing w:after="120"/>
              <w:ind w:left="55"/>
              <w:jc w:val="center"/>
              <w:rPr>
                <w:b/>
                <w:noProof/>
                <w:szCs w:val="24"/>
              </w:rPr>
            </w:pPr>
            <w:r>
              <w:rPr>
                <w:b/>
                <w:noProof/>
              </w:rPr>
              <w:t>Azioni</w:t>
            </w:r>
          </w:p>
        </w:tc>
        <w:tc>
          <w:tcPr>
            <w:tcW w:w="1144" w:type="pct"/>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007974" w:rsidRDefault="00536B95">
            <w:pPr>
              <w:pStyle w:val="Text1"/>
              <w:spacing w:after="120"/>
              <w:ind w:left="132"/>
              <w:jc w:val="center"/>
              <w:rPr>
                <w:noProof/>
                <w:szCs w:val="24"/>
              </w:rPr>
            </w:pPr>
            <w:r>
              <w:rPr>
                <w:b/>
                <w:noProof/>
              </w:rPr>
              <w:t>Calendario indicativo</w:t>
            </w:r>
            <w:r>
              <w:rPr>
                <w:rStyle w:val="Rimandonotaapidipagina"/>
                <w:b/>
                <w:noProof/>
              </w:rPr>
              <w:footnoteReference w:id="1"/>
            </w:r>
          </w:p>
        </w:tc>
      </w:tr>
      <w:tr w:rsidR="00007974">
        <w:tc>
          <w:tcPr>
            <w:tcW w:w="3856" w:type="pct"/>
            <w:shd w:val="clear" w:color="auto" w:fill="EAF1DD" w:themeFill="accent3" w:themeFillTint="33"/>
            <w:vAlign w:val="bottom"/>
          </w:tcPr>
          <w:p w:rsidR="00007974" w:rsidRDefault="00536B95">
            <w:pPr>
              <w:pStyle w:val="Text1"/>
              <w:spacing w:after="120"/>
              <w:ind w:left="55"/>
              <w:jc w:val="left"/>
              <w:rPr>
                <w:noProof/>
                <w:szCs w:val="24"/>
              </w:rPr>
            </w:pPr>
            <w:r>
              <w:rPr>
                <w:b/>
                <w:noProof/>
              </w:rPr>
              <w:t>Ambizione in materia di clima</w:t>
            </w:r>
          </w:p>
        </w:tc>
        <w:tc>
          <w:tcPr>
            <w:tcW w:w="1144" w:type="pct"/>
            <w:shd w:val="clear" w:color="auto" w:fill="EAF1DD" w:themeFill="accent3" w:themeFillTint="33"/>
          </w:tcPr>
          <w:p w:rsidR="00007974" w:rsidRDefault="00007974">
            <w:pPr>
              <w:pStyle w:val="Text1"/>
              <w:spacing w:after="120"/>
              <w:ind w:left="132"/>
              <w:jc w:val="left"/>
              <w:rPr>
                <w:noProof/>
                <w:szCs w:val="24"/>
              </w:rPr>
            </w:pPr>
          </w:p>
        </w:tc>
      </w:tr>
      <w:tr w:rsidR="00007974">
        <w:tc>
          <w:tcPr>
            <w:tcW w:w="3856" w:type="pct"/>
            <w:shd w:val="clear" w:color="auto" w:fill="auto"/>
          </w:tcPr>
          <w:p w:rsidR="00007974" w:rsidRDefault="00536B95">
            <w:pPr>
              <w:pStyle w:val="Text1"/>
              <w:spacing w:after="120"/>
              <w:ind w:left="0"/>
              <w:rPr>
                <w:noProof/>
                <w:szCs w:val="24"/>
              </w:rPr>
            </w:pPr>
            <w:r>
              <w:rPr>
                <w:noProof/>
              </w:rPr>
              <w:t xml:space="preserve">Proposta di una normativa europea sul clima che sancisca l'obiettivo della neutralità climatica entro il 2050 </w:t>
            </w:r>
          </w:p>
        </w:tc>
        <w:tc>
          <w:tcPr>
            <w:tcW w:w="1144" w:type="pct"/>
            <w:shd w:val="clear" w:color="auto" w:fill="auto"/>
          </w:tcPr>
          <w:p w:rsidR="00007974" w:rsidRDefault="00536B95">
            <w:pPr>
              <w:pStyle w:val="Text1"/>
              <w:spacing w:after="120"/>
              <w:ind w:left="0"/>
              <w:jc w:val="left"/>
              <w:rPr>
                <w:noProof/>
                <w:szCs w:val="24"/>
              </w:rPr>
            </w:pPr>
            <w:r>
              <w:rPr>
                <w:noProof/>
              </w:rPr>
              <w:t>Marzo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Piano globale per portare l'obiettivo dell'UE per il 2030 in materia di clima ad almeno il 50 % e verso il 55 % in modo responsabile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Estate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rPr>
                <w:noProof/>
                <w:szCs w:val="24"/>
              </w:rPr>
            </w:pPr>
            <w:r>
              <w:rPr>
                <w:noProof/>
              </w:rPr>
              <w:t>Proposte di revisione delle misure legislative pertinenti al fine di conseguire obiettivi ambiziosi in materia di clima, in seguito alla revisione della direttiva sul sistema per lo scambio di quote di emissioni; regolamento sulla condivisione degli sforzi; regolamento sull'uso del suolo, il cambiamento di uso del suolo e la silvicoltura; direttiva sull'efficienza energetica; direttiva sulle energie rinnovabili; norme relative ai livelli di prestazione di autovetture e furgoni per quanto riguarda le emissioni di CO</w:t>
            </w:r>
            <w:r>
              <w:rPr>
                <w:noProof/>
                <w:vertAlign w:val="subscript"/>
              </w:rPr>
              <w:t>2</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Giugno 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55"/>
              <w:jc w:val="left"/>
              <w:rPr>
                <w:noProof/>
                <w:szCs w:val="24"/>
              </w:rPr>
            </w:pPr>
            <w:r>
              <w:rPr>
                <w:noProof/>
              </w:rPr>
              <w:t>Proposta di revisione della direttiva sulla tassazione dell'energia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Giugno 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55"/>
              <w:rPr>
                <w:noProof/>
                <w:szCs w:val="24"/>
              </w:rPr>
            </w:pPr>
            <w:r>
              <w:rPr>
                <w:noProof/>
              </w:rPr>
              <w:t xml:space="preserve">Proposta di un meccanismo di adeguamento del carbonio alle frontiere per determinati settori </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55"/>
              <w:jc w:val="left"/>
              <w:rPr>
                <w:noProof/>
                <w:szCs w:val="24"/>
              </w:rPr>
            </w:pPr>
            <w:r>
              <w:rPr>
                <w:noProof/>
              </w:rPr>
              <w:t xml:space="preserve">Nuova strategia dell'UE di adattamento ai cambiamenti climatici </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55"/>
              <w:jc w:val="left"/>
              <w:rPr>
                <w:b/>
                <w:noProof/>
                <w:szCs w:val="24"/>
              </w:rPr>
            </w:pPr>
            <w:r>
              <w:rPr>
                <w:b/>
                <w:noProof/>
              </w:rPr>
              <w:t>Energia pulita, economica e sicura</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132"/>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Valutazione dei piani nazionali per l'energia e il clima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Giugno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Strategia per l'integrazione settoriale intelligente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Iniziativa per un'"ondata di ristrutturazioni" nel settore dell'edilizia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Valutazione e riesame del regolamento sulle reti transeuropee dell'energia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Strategia per l'energia eolica offshore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0"/>
              <w:jc w:val="left"/>
              <w:rPr>
                <w:noProof/>
                <w:szCs w:val="24"/>
              </w:rPr>
            </w:pPr>
            <w:r>
              <w:rPr>
                <w:b/>
                <w:noProof/>
              </w:rPr>
              <w:t>Strategia industriale per un'economia pulita e circolare</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132"/>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Strategia industriale dell'UE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Marzo 2020</w:t>
            </w:r>
          </w:p>
        </w:tc>
      </w:tr>
      <w:tr w:rsidR="00007974">
        <w:trPr>
          <w:cantSplit/>
        </w:trPr>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lastRenderedPageBreak/>
              <w:t>Piano d'azione per l'economia circolare: comprende un'iniziativa sui prodotti sostenibili con particolare attenzione ai settori ad alta intensità di risorse come quelli tessile, dell'edilizia, dell'elettronica e delle materie plastiche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Marzo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Iniziative volte a stimolare i mercati guida per prodotti circolari e a impatto climatico zero nei settori industriali ad alta intensità energetica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tabs>
                <w:tab w:val="left" w:pos="2280"/>
              </w:tabs>
              <w:spacing w:after="120"/>
              <w:ind w:left="0"/>
              <w:jc w:val="left"/>
              <w:rPr>
                <w:noProof/>
                <w:szCs w:val="24"/>
              </w:rPr>
            </w:pPr>
            <w:r>
              <w:rPr>
                <w:noProof/>
              </w:rPr>
              <w:t>Proposta a sostegno dei processi siderurgici a zero emissioni di carbonio entro il 2030</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tabs>
                <w:tab w:val="left" w:pos="1200"/>
              </w:tabs>
              <w:spacing w:after="120"/>
              <w:ind w:left="0"/>
              <w:jc w:val="left"/>
              <w:rPr>
                <w:noProof/>
                <w:szCs w:val="24"/>
              </w:rPr>
            </w:pPr>
            <w:r>
              <w:rPr>
                <w:noProof/>
              </w:rPr>
              <w:t>Legislazione sulle batterie a sostegno del piano d'azione strategico sulle batterie e dell'economia circolare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Ottobre 2020</w:t>
            </w:r>
          </w:p>
        </w:tc>
      </w:tr>
      <w:tr w:rsidR="00007974">
        <w:trPr>
          <w:trHeight w:val="57"/>
        </w:trPr>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tabs>
                <w:tab w:val="left" w:pos="1200"/>
              </w:tabs>
              <w:spacing w:after="120"/>
              <w:ind w:left="0"/>
              <w:jc w:val="left"/>
              <w:rPr>
                <w:noProof/>
                <w:szCs w:val="24"/>
              </w:rPr>
            </w:pPr>
            <w:r>
              <w:rPr>
                <w:noProof/>
              </w:rPr>
              <w:t>Proporre riforme legislative in materia di rifiuti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rPr>
          <w:trHeight w:val="13"/>
        </w:trPr>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0"/>
              <w:jc w:val="left"/>
              <w:rPr>
                <w:b/>
                <w:noProof/>
                <w:szCs w:val="24"/>
              </w:rPr>
            </w:pPr>
            <w:r>
              <w:rPr>
                <w:b/>
                <w:noProof/>
              </w:rPr>
              <w:t>Mobilità sostenibile e intelligente</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55"/>
              <w:jc w:val="center"/>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Strategia per una mobilità sostenibile e intelligente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Invito a presentare proposte di finanziamento per sostenere la realizzazione di punti di ricarica e di rifornimento pubblici nell'ambito dell'infrastruttura per i combustibili alternativi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Valutazione delle opzioni legislative per promuovere la produzione e l'offerta di combustibili alternativi sostenibili per le diverse modalità di trasporto</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ind w:left="283" w:hanging="283"/>
              <w:rPr>
                <w:noProof/>
                <w:szCs w:val="24"/>
              </w:rPr>
            </w:pPr>
            <w:r>
              <w:rPr>
                <w:noProof/>
              </w:rPr>
              <w:t>Proposta riveduta di direttiva sui trasporti combinati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Riesame della direttiva su un'infrastruttura per i combustibili alternativi e del regolamento sulle reti transeuropee dei trasporti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 xml:space="preserve">Iniziative per migliorare la gestione ed aumentare la capacità delle ferrovie e delle vie navigabili interne </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spacing w:after="120" w:line="240" w:lineRule="auto"/>
              <w:rPr>
                <w:rFonts w:ascii="Times New Roman" w:hAnsi="Times New Roman" w:cs="Times New Roman"/>
                <w:noProof/>
                <w:sz w:val="24"/>
                <w:szCs w:val="24"/>
              </w:rPr>
            </w:pPr>
            <w:r>
              <w:rPr>
                <w:rFonts w:ascii="Times New Roman" w:hAnsi="Times New Roman"/>
                <w:noProof/>
              </w:rPr>
              <w:t>Proposta di norme più rigorose in materia di emissioni inquinanti nell'atmosfera per i veicoli con motore a combustione interna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55"/>
              <w:jc w:val="left"/>
              <w:rPr>
                <w:b/>
                <w:noProof/>
                <w:szCs w:val="24"/>
              </w:rPr>
            </w:pPr>
            <w:r>
              <w:rPr>
                <w:b/>
                <w:noProof/>
              </w:rPr>
              <w:t>Una politica agricola comune più verde/Strategia "Dal produttore al consumatore"</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55"/>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55"/>
              <w:jc w:val="left"/>
              <w:rPr>
                <w:noProof/>
                <w:szCs w:val="24"/>
              </w:rPr>
            </w:pPr>
            <w:r>
              <w:rPr>
                <w:noProof/>
              </w:rPr>
              <w:t>Esame dei progetti di piani strategici nazionali, con riferimento agli obiettivi del Green Deal europeo e della strategia "Dal produttore al consumatore"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55"/>
              <w:jc w:val="left"/>
              <w:rPr>
                <w:noProof/>
                <w:szCs w:val="24"/>
              </w:rPr>
            </w:pPr>
            <w:r>
              <w:rPr>
                <w:noProof/>
              </w:rPr>
              <w:t>Strategia "Dal produttore al consumatore"</w:t>
            </w:r>
          </w:p>
          <w:p w:rsidR="00007974" w:rsidRDefault="00536B95">
            <w:pPr>
              <w:pStyle w:val="Text1"/>
              <w:spacing w:after="120"/>
              <w:ind w:left="55"/>
              <w:jc w:val="left"/>
              <w:rPr>
                <w:noProof/>
                <w:szCs w:val="24"/>
              </w:rPr>
            </w:pPr>
            <w:r>
              <w:rPr>
                <w:noProof/>
              </w:rPr>
              <w:lastRenderedPageBreak/>
              <w:t>Misure, anche a livello legislativo, per ridurre significativamente l'uso di pesticidi chimici e i rischi connessi, nonché l'uso di fertilizzanti e antibiotici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lastRenderedPageBreak/>
              <w:t>Primavera 2020</w:t>
            </w:r>
          </w:p>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55"/>
              <w:jc w:val="left"/>
              <w:rPr>
                <w:b/>
                <w:noProof/>
                <w:szCs w:val="24"/>
              </w:rPr>
            </w:pPr>
            <w:r>
              <w:rPr>
                <w:b/>
                <w:noProof/>
              </w:rPr>
              <w:t>Salvaguardia e tutela della biodiversità</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55"/>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Strategia dell'UE sulla biodiversità per il 2030</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Marzo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Misure per affrontare le principali cause della perdita di biodiversità</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Nuova strategia forestale dell'UE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Misure a sostegno di catene del valore che non contribuiscono alla deforestazione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0"/>
              <w:jc w:val="left"/>
              <w:rPr>
                <w:b/>
                <w:noProof/>
                <w:szCs w:val="24"/>
              </w:rPr>
            </w:pPr>
            <w:r>
              <w:rPr>
                <w:b/>
                <w:noProof/>
              </w:rPr>
              <w:t>Verso l'obiettivo "inquinamento zero" per un ambiente privo di sostanze tossiche</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55"/>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spacing w:after="120" w:line="240" w:lineRule="auto"/>
              <w:rPr>
                <w:rFonts w:ascii="Times New Roman" w:hAnsi="Times New Roman" w:cs="Times New Roman"/>
                <w:noProof/>
                <w:sz w:val="24"/>
                <w:szCs w:val="24"/>
              </w:rPr>
            </w:pPr>
            <w:r>
              <w:rPr>
                <w:rFonts w:ascii="Times New Roman" w:hAnsi="Times New Roman"/>
                <w:noProof/>
              </w:rPr>
              <w:t xml:space="preserve">Strategia in materia di sostanze chimiche per la sostenibilità </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Estate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Piano d'azione per l'inquinamento zero di aria, acqua e suolo</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Revisione delle misure volte ad affrontare l'inquinamento provocato dai grandi impianti industriali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0"/>
              <w:jc w:val="left"/>
              <w:rPr>
                <w:b/>
                <w:noProof/>
                <w:szCs w:val="24"/>
              </w:rPr>
            </w:pPr>
            <w:r>
              <w:rPr>
                <w:b/>
                <w:noProof/>
              </w:rPr>
              <w:t>Integrare la sostenibilità in tutte le politiche dell'UE</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55"/>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Proposta di un meccanismo per una transizione giusta, che comprende un fondo per una transizione giusta e un piano di investimenti per un'Europa sostenibile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Gennaio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Strategia rinnovata in materia di finanza sostenibile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Autunno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Riesame della direttiva sulla comunicazione di informazioni di carattere non finanziario</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Iniziative per esaminare e confrontare le pratiche dei bilanci verdi degli Stati membri e dell'UE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spacing w:after="120" w:line="240" w:lineRule="auto"/>
              <w:rPr>
                <w:rFonts w:ascii="Times New Roman" w:hAnsi="Times New Roman" w:cs="Times New Roman"/>
                <w:noProof/>
                <w:sz w:val="24"/>
                <w:szCs w:val="24"/>
              </w:rPr>
            </w:pPr>
            <w:r>
              <w:rPr>
                <w:rFonts w:ascii="Times New Roman" w:hAnsi="Times New Roman"/>
                <w:noProof/>
              </w:rPr>
              <w:t>Riesame dei pertinenti orientamenti sugli aiuti di Stato, compreso nei settori dell'ambiente e dell'energia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2021</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Allineamento di tutte le nuove iniziative della Commissione agli obiettivi del Green Deal e promozione dell'innovazione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spacing w:after="120" w:line="240" w:lineRule="auto"/>
              <w:rPr>
                <w:rFonts w:ascii="Times New Roman" w:hAnsi="Times New Roman" w:cs="Times New Roman"/>
                <w:noProof/>
                <w:sz w:val="24"/>
                <w:szCs w:val="24"/>
              </w:rPr>
            </w:pPr>
            <w:r>
              <w:rPr>
                <w:rFonts w:ascii="Times New Roman" w:hAnsi="Times New Roman"/>
                <w:noProof/>
              </w:rPr>
              <w:t>Coinvolgimento dei portatori di interessi per individuare e porre rimedio alle incongruenze della normativa che riducono l'efficacia dell'attuazione del Green Deal europeo</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spacing w:after="120" w:line="240" w:lineRule="auto"/>
              <w:rPr>
                <w:rFonts w:ascii="Times New Roman" w:hAnsi="Times New Roman" w:cs="Times New Roman"/>
                <w:noProof/>
                <w:sz w:val="24"/>
                <w:szCs w:val="24"/>
              </w:rPr>
            </w:pPr>
            <w:r>
              <w:rPr>
                <w:rFonts w:ascii="Times New Roman" w:hAnsi="Times New Roman"/>
                <w:noProof/>
              </w:rPr>
              <w:t>Integrazione degli obiettivi di sviluppo sostenibile nel semestre europeo</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keepNext/>
              <w:spacing w:after="120"/>
              <w:ind w:left="0"/>
              <w:jc w:val="left"/>
              <w:rPr>
                <w:b/>
                <w:noProof/>
                <w:szCs w:val="24"/>
              </w:rPr>
            </w:pPr>
            <w:r>
              <w:rPr>
                <w:b/>
                <w:noProof/>
              </w:rPr>
              <w:lastRenderedPageBreak/>
              <w:t>L'UE come leader mondiale</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keepNext/>
              <w:spacing w:after="120"/>
              <w:ind w:left="252"/>
              <w:jc w:val="left"/>
              <w:rPr>
                <w:noProof/>
                <w:szCs w:val="24"/>
              </w:rPr>
            </w:pPr>
          </w:p>
        </w:tc>
      </w:tr>
      <w:tr w:rsidR="00007974">
        <w:trPr>
          <w:cantSplit/>
        </w:trPr>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L'UE continuerà a guidare i negoziati internazionali in materia di clima e biodiversità, rafforzando ulteriormente il quadro politico internazionale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2019</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0"/>
              <w:rPr>
                <w:noProof/>
                <w:szCs w:val="24"/>
              </w:rPr>
            </w:pPr>
            <w:r>
              <w:rPr>
                <w:noProof/>
              </w:rPr>
              <w:t>Rafforzamento della diplomazia del Green Deal dell'UE in cooperazione con gli Stati membri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 xml:space="preserve">Sforzi bilaterali per invitare i partner ad agire e garantire la comparabilità delle azioni e delle politiche </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Puntoelenco"/>
              <w:numPr>
                <w:ilvl w:val="0"/>
                <w:numId w:val="0"/>
              </w:numPr>
              <w:spacing w:after="120"/>
              <w:rPr>
                <w:noProof/>
                <w:szCs w:val="24"/>
              </w:rPr>
            </w:pPr>
            <w:r>
              <w:rPr>
                <w:noProof/>
              </w:rPr>
              <w:t>Agenda verde per i Balcani occidentali</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Dal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536B95">
            <w:pPr>
              <w:pStyle w:val="Text1"/>
              <w:spacing w:after="120"/>
              <w:ind w:left="0"/>
              <w:jc w:val="left"/>
              <w:rPr>
                <w:b/>
                <w:noProof/>
                <w:szCs w:val="24"/>
              </w:rPr>
            </w:pPr>
            <w:r>
              <w:rPr>
                <w:b/>
                <w:noProof/>
              </w:rPr>
              <w:t>Lavorare insieme: un patto europeo per il clima</w:t>
            </w:r>
          </w:p>
        </w:tc>
        <w:tc>
          <w:tcPr>
            <w:tcW w:w="114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7974" w:rsidRDefault="00007974">
            <w:pPr>
              <w:pStyle w:val="Text1"/>
              <w:spacing w:after="120"/>
              <w:ind w:left="55"/>
              <w:jc w:val="left"/>
              <w:rPr>
                <w:noProof/>
                <w:szCs w:val="24"/>
              </w:rPr>
            </w:pP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Varo del patto europeo per il clima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Marzo 2020</w:t>
            </w:r>
          </w:p>
        </w:tc>
      </w:tr>
      <w:tr w:rsidR="00007974">
        <w:tc>
          <w:tcPr>
            <w:tcW w:w="3856"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Proposta di un 8º programma d'azione per l'ambiente</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007974" w:rsidRDefault="00536B95">
            <w:pPr>
              <w:pStyle w:val="Text1"/>
              <w:spacing w:after="120"/>
              <w:ind w:left="0"/>
              <w:jc w:val="left"/>
              <w:rPr>
                <w:noProof/>
                <w:szCs w:val="24"/>
              </w:rPr>
            </w:pPr>
            <w:r>
              <w:rPr>
                <w:noProof/>
              </w:rPr>
              <w:t>2020</w:t>
            </w:r>
          </w:p>
        </w:tc>
      </w:tr>
    </w:tbl>
    <w:p w:rsidR="00007974" w:rsidRDefault="00007974">
      <w:pPr>
        <w:spacing w:after="120" w:line="240" w:lineRule="auto"/>
        <w:rPr>
          <w:rFonts w:ascii="Times New Roman" w:hAnsi="Times New Roman" w:cs="Times New Roman"/>
          <w:noProof/>
          <w:sz w:val="16"/>
          <w:szCs w:val="24"/>
        </w:rPr>
      </w:pPr>
    </w:p>
    <w:sectPr w:rsidR="00007974">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9F" w:rsidRDefault="00C7729F">
      <w:pPr>
        <w:spacing w:after="0" w:line="240" w:lineRule="auto"/>
      </w:pPr>
      <w:r>
        <w:separator/>
      </w:r>
    </w:p>
  </w:endnote>
  <w:endnote w:type="continuationSeparator" w:id="0">
    <w:p w:rsidR="00C7729F" w:rsidRDefault="00C7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536B95">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proofErr w:type="spellStart"/>
    <w:r>
      <w:rPr>
        <w:rFonts w:ascii="Arial" w:hAnsi="Arial" w:cs="Arial"/>
        <w:b/>
        <w:sz w:val="48"/>
      </w:rPr>
      <w:t>IT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66516"/>
      <w:docPartObj>
        <w:docPartGallery w:val="Page Numbers (Bottom of Page)"/>
        <w:docPartUnique/>
      </w:docPartObj>
    </w:sdtPr>
    <w:sdtEndPr>
      <w:rPr>
        <w:rFonts w:ascii="Times New Roman" w:hAnsi="Times New Roman" w:cs="Times New Roman"/>
        <w:noProof/>
      </w:rPr>
    </w:sdtEndPr>
    <w:sdtContent>
      <w:p w:rsidR="00007974" w:rsidRDefault="00536B95">
        <w:pPr>
          <w:pStyle w:val="Pidipagin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9F" w:rsidRDefault="00C7729F">
      <w:pPr>
        <w:spacing w:after="0" w:line="240" w:lineRule="auto"/>
      </w:pPr>
      <w:r>
        <w:separator/>
      </w:r>
    </w:p>
  </w:footnote>
  <w:footnote w:type="continuationSeparator" w:id="0">
    <w:p w:rsidR="00C7729F" w:rsidRDefault="00C7729F">
      <w:pPr>
        <w:spacing w:after="0" w:line="240" w:lineRule="auto"/>
      </w:pPr>
      <w:r>
        <w:continuationSeparator/>
      </w:r>
    </w:p>
  </w:footnote>
  <w:footnote w:id="1">
    <w:p w:rsidR="00007974" w:rsidRDefault="00536B95">
      <w:pPr>
        <w:pStyle w:val="Testonotaapidipagina"/>
        <w:ind w:left="284" w:hanging="284"/>
        <w:rPr>
          <w:rFonts w:ascii="Times New Roman" w:hAnsi="Times New Roman" w:cs="Times New Roman"/>
        </w:rPr>
      </w:pPr>
      <w:r>
        <w:rPr>
          <w:rStyle w:val="Rimandonotaapidipagina"/>
        </w:rPr>
        <w:footnoteRef/>
      </w:r>
      <w:r>
        <w:t xml:space="preserve"> </w:t>
      </w:r>
      <w:r>
        <w:tab/>
      </w:r>
      <w:r>
        <w:rPr>
          <w:rFonts w:ascii="Times New Roman" w:hAnsi="Times New Roman"/>
        </w:rPr>
        <w:t>Il programma di lavoro della Commissione per il 2020 chiarirà ulteriormente i tempi delle pertinenti azioni annunciate per 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74" w:rsidRDefault="00007974">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0F7"/>
    <w:multiLevelType w:val="multilevel"/>
    <w:tmpl w:val="746AA9A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18F4FB3"/>
    <w:multiLevelType w:val="multilevel"/>
    <w:tmpl w:val="974834FC"/>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Wingdings" w:hAnsi="Wingdings" w:hint="default"/>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31821268"/>
    <w:multiLevelType w:val="hybridMultilevel"/>
    <w:tmpl w:val="B450DC5C"/>
    <w:lvl w:ilvl="0" w:tplc="A6CEA97E">
      <w:numFmt w:val="bullet"/>
      <w:lvlText w:val="-"/>
      <w:lvlJc w:val="left"/>
      <w:pPr>
        <w:ind w:left="415" w:hanging="360"/>
      </w:pPr>
      <w:rPr>
        <w:rFonts w:ascii="Times New Roman" w:eastAsia="Times New Roman" w:hAnsi="Times New Roman" w:cs="Times New Roman" w:hint="default"/>
      </w:rPr>
    </w:lvl>
    <w:lvl w:ilvl="1" w:tplc="08090003">
      <w:start w:val="1"/>
      <w:numFmt w:val="bullet"/>
      <w:lvlText w:val="o"/>
      <w:lvlJc w:val="left"/>
      <w:pPr>
        <w:ind w:left="1135" w:hanging="360"/>
      </w:pPr>
      <w:rPr>
        <w:rFonts w:ascii="Courier New" w:hAnsi="Courier New" w:cs="Courier New" w:hint="default"/>
      </w:rPr>
    </w:lvl>
    <w:lvl w:ilvl="2" w:tplc="08090005" w:tentative="1">
      <w:start w:val="1"/>
      <w:numFmt w:val="bullet"/>
      <w:lvlText w:val=""/>
      <w:lvlJc w:val="left"/>
      <w:pPr>
        <w:ind w:left="1855" w:hanging="360"/>
      </w:pPr>
      <w:rPr>
        <w:rFonts w:ascii="Wingdings" w:hAnsi="Wingdings" w:hint="default"/>
      </w:rPr>
    </w:lvl>
    <w:lvl w:ilvl="3" w:tplc="08090001" w:tentative="1">
      <w:start w:val="1"/>
      <w:numFmt w:val="bullet"/>
      <w:lvlText w:val=""/>
      <w:lvlJc w:val="left"/>
      <w:pPr>
        <w:ind w:left="2575" w:hanging="360"/>
      </w:pPr>
      <w:rPr>
        <w:rFonts w:ascii="Symbol" w:hAnsi="Symbol" w:hint="default"/>
      </w:rPr>
    </w:lvl>
    <w:lvl w:ilvl="4" w:tplc="08090003" w:tentative="1">
      <w:start w:val="1"/>
      <w:numFmt w:val="bullet"/>
      <w:lvlText w:val="o"/>
      <w:lvlJc w:val="left"/>
      <w:pPr>
        <w:ind w:left="3295" w:hanging="360"/>
      </w:pPr>
      <w:rPr>
        <w:rFonts w:ascii="Courier New" w:hAnsi="Courier New" w:cs="Courier New" w:hint="default"/>
      </w:rPr>
    </w:lvl>
    <w:lvl w:ilvl="5" w:tplc="08090005" w:tentative="1">
      <w:start w:val="1"/>
      <w:numFmt w:val="bullet"/>
      <w:lvlText w:val=""/>
      <w:lvlJc w:val="left"/>
      <w:pPr>
        <w:ind w:left="4015" w:hanging="360"/>
      </w:pPr>
      <w:rPr>
        <w:rFonts w:ascii="Wingdings" w:hAnsi="Wingdings" w:hint="default"/>
      </w:rPr>
    </w:lvl>
    <w:lvl w:ilvl="6" w:tplc="08090001" w:tentative="1">
      <w:start w:val="1"/>
      <w:numFmt w:val="bullet"/>
      <w:lvlText w:val=""/>
      <w:lvlJc w:val="left"/>
      <w:pPr>
        <w:ind w:left="4735" w:hanging="360"/>
      </w:pPr>
      <w:rPr>
        <w:rFonts w:ascii="Symbol" w:hAnsi="Symbol" w:hint="default"/>
      </w:rPr>
    </w:lvl>
    <w:lvl w:ilvl="7" w:tplc="08090003" w:tentative="1">
      <w:start w:val="1"/>
      <w:numFmt w:val="bullet"/>
      <w:lvlText w:val="o"/>
      <w:lvlJc w:val="left"/>
      <w:pPr>
        <w:ind w:left="5455" w:hanging="360"/>
      </w:pPr>
      <w:rPr>
        <w:rFonts w:ascii="Courier New" w:hAnsi="Courier New" w:cs="Courier New" w:hint="default"/>
      </w:rPr>
    </w:lvl>
    <w:lvl w:ilvl="8" w:tplc="08090005" w:tentative="1">
      <w:start w:val="1"/>
      <w:numFmt w:val="bullet"/>
      <w:lvlText w:val=""/>
      <w:lvlJc w:val="left"/>
      <w:pPr>
        <w:ind w:left="6175" w:hanging="360"/>
      </w:pPr>
      <w:rPr>
        <w:rFonts w:ascii="Wingdings" w:hAnsi="Wingdings" w:hint="default"/>
      </w:rPr>
    </w:lvl>
  </w:abstractNum>
  <w:abstractNum w:abstractNumId="3" w15:restartNumberingAfterBreak="0">
    <w:nsid w:val="3A74450D"/>
    <w:multiLevelType w:val="hybridMultilevel"/>
    <w:tmpl w:val="8CF8A022"/>
    <w:lvl w:ilvl="0" w:tplc="A6CEA97E">
      <w:numFmt w:val="bullet"/>
      <w:lvlText w:val="-"/>
      <w:lvlJc w:val="left"/>
      <w:pPr>
        <w:ind w:left="415"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A982C"/>
    <w:multiLevelType w:val="multilevel"/>
    <w:tmpl w:val="F8F8C3D6"/>
    <w:name w:val="ListBulletNumbering"/>
    <w:lvl w:ilvl="0">
      <w:start w:val="1"/>
      <w:numFmt w:val="bullet"/>
      <w:pStyle w:val="Puntoelenc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2"/>
  </w:num>
  <w:num w:numId="2">
    <w:abstractNumId w:val="4"/>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della"/>
    <w:docVar w:name="LW_ANNEX_NBR_FIRST" w:val="1"/>
    <w:docVar w:name="LW_ANNEX_NBR_LAST" w:val="1"/>
    <w:docVar w:name="LW_ANNEX_UNIQUE" w:val="1"/>
    <w:docVar w:name="LW_CORRIGENDUM" w:val="&lt;UNUSED&gt;"/>
    <w:docVar w:name="LW_COVERPAGE_EXISTS" w:val="True"/>
    <w:docVar w:name="LW_COVERPAGE_GUID" w:val="57D8B68E-6ECA-489C-89FF-3126D3DF0196"/>
    <w:docVar w:name="LW_COVERPAGE_TYPE" w:val="1"/>
    <w:docVar w:name="LW_CROSSREFERENCE" w:val="&lt;UNUSED&gt;"/>
    <w:docVar w:name="LW_DocType" w:val="NORMAL"/>
    <w:docVar w:name="LW_EMISSION" w:val="11.12.2019"/>
    <w:docVar w:name="LW_EMISSION_ISODATE" w:val="2019-12-11"/>
    <w:docVar w:name="LW_EMISSION_LOCATION" w:val="BRX"/>
    <w:docVar w:name="LW_EMISSION_PREFIX" w:val="Bruxelles, "/>
    <w:docVar w:name="LW_EMISSION_SUFFIX" w:val=" "/>
    <w:docVar w:name="LW_ID_DOCTYPE_NONLW" w:val="CP-039"/>
    <w:docVar w:name="LW_LANGUE" w:val="IT"/>
    <w:docVar w:name="LW_LEVEL_OF_SENSITIVITY" w:val="Standard treatment"/>
    <w:docVar w:name="LW_NOM.INST" w:val="COMMISSIONE EUROPEA"/>
    <w:docVar w:name="LW_NOM.INST_JOINTDOC" w:val="&lt;EMPTY&gt;"/>
    <w:docVar w:name="LW_OBJETACTEPRINCIPAL.CP" w:val="Il Green Deal europeo"/>
    <w:docVar w:name="LW_PART_NBR" w:val="1"/>
    <w:docVar w:name="LW_PART_NBR_TOTAL" w:val="1"/>
    <w:docVar w:name="LW_REF.INST.NEW" w:val="COM"/>
    <w:docVar w:name="LW_REF.INST.NEW_ADOPTED" w:val="final"/>
    <w:docVar w:name="LW_REF.INST.NEW_TEXT" w:val="(2019) 6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LLEGATO_x000b_"/>
    <w:docVar w:name="LW_TYPEACTEPRINCIPAL.CP" w:val="COMUNICAZIONE DELLA COMMISSIONE AL PARLAMENTO EUROPEO, AL CONSIGLIO EUROPEO, AL CONSIGLIO, AL COMITATO ECONOMICO E SOCIALE EUROPEO E AL COMITATO DELLE REGIONI"/>
  </w:docVars>
  <w:rsids>
    <w:rsidRoot w:val="00007974"/>
    <w:rsid w:val="00007974"/>
    <w:rsid w:val="001058A0"/>
    <w:rsid w:val="00536B95"/>
    <w:rsid w:val="00C26F03"/>
    <w:rsid w:val="00C7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025C7-CAB6-5F41-B43C-DCF966D1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r">
    <w:name w:val="Marker"/>
    <w:basedOn w:val="Carpredefinitoparagrafo"/>
    <w:rPr>
      <w:color w:val="0000FF"/>
      <w:shd w:val="clear" w:color="auto" w:fill="auto"/>
    </w:rPr>
  </w:style>
  <w:style w:type="paragraph" w:customStyle="1" w:styleId="Pagedecouverture">
    <w:name w:val="Page de couverture"/>
    <w:basedOn w:val="Normale"/>
    <w:next w:val="Normale"/>
    <w:pPr>
      <w:spacing w:after="0" w:line="240" w:lineRule="auto"/>
      <w:jc w:val="both"/>
    </w:pPr>
    <w:rPr>
      <w:rFonts w:ascii="Times New Roman" w:hAnsi="Times New Roman" w:cs="Times New Roman"/>
      <w:sz w:val="24"/>
    </w:rPr>
  </w:style>
  <w:style w:type="paragraph" w:styleId="Intestazione">
    <w:name w:val="header"/>
    <w:basedOn w:val="Normale"/>
    <w:link w:val="IntestazioneCarattere"/>
    <w:unhideWhenUs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FooterCoverPage">
    <w:name w:val="Footer Cover Page"/>
    <w:basedOn w:val="Normale"/>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Carpredefinitoparagrafo"/>
    <w:link w:val="FooterCoverPage"/>
    <w:rPr>
      <w:rFonts w:ascii="Times New Roman" w:hAnsi="Times New Roman" w:cs="Times New Roman"/>
      <w:sz w:val="24"/>
    </w:rPr>
  </w:style>
  <w:style w:type="paragraph" w:customStyle="1" w:styleId="HeaderCoverPage">
    <w:name w:val="Header Cover Page"/>
    <w:basedOn w:val="Normale"/>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Carpredefinitoparagrafo"/>
    <w:link w:val="HeaderCoverPage"/>
    <w:rPr>
      <w:rFonts w:ascii="Times New Roman" w:hAnsi="Times New Roman" w:cs="Times New Roman"/>
      <w:sz w:val="24"/>
    </w:rPr>
  </w:style>
  <w:style w:type="paragraph" w:customStyle="1" w:styleId="Text1">
    <w:name w:val="Text 1"/>
    <w:basedOn w:val="Normale"/>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semiHidden/>
    <w:unhideWhenUsed/>
    <w:pPr>
      <w:spacing w:line="240" w:lineRule="auto"/>
    </w:pPr>
    <w:rPr>
      <w:sz w:val="20"/>
      <w:szCs w:val="20"/>
    </w:rPr>
  </w:style>
  <w:style w:type="character" w:customStyle="1" w:styleId="TestocommentoCarattere">
    <w:name w:val="Testo commento Carattere"/>
    <w:basedOn w:val="Carpredefinitoparagrafo"/>
    <w:link w:val="Testocommento"/>
    <w:semiHidden/>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Puntoelenco">
    <w:name w:val="List Bullet"/>
    <w:basedOn w:val="Normale"/>
    <w:pPr>
      <w:numPr>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Level2">
    <w:name w:val="List Bullet (Level 2)"/>
    <w:basedOn w:val="Text1"/>
    <w:pPr>
      <w:numPr>
        <w:ilvl w:val="1"/>
        <w:numId w:val="2"/>
      </w:numPr>
    </w:pPr>
    <w:rPr>
      <w:lang w:eastAsia="en-GB"/>
    </w:rPr>
  </w:style>
  <w:style w:type="paragraph" w:customStyle="1" w:styleId="ListBulletLevel3">
    <w:name w:val="List Bullet (Level 3)"/>
    <w:basedOn w:val="Text1"/>
    <w:semiHidden/>
    <w:unhideWhenUsed/>
    <w:pPr>
      <w:numPr>
        <w:ilvl w:val="2"/>
        <w:numId w:val="2"/>
      </w:numPr>
    </w:pPr>
    <w:rPr>
      <w:lang w:eastAsia="en-GB"/>
    </w:rPr>
  </w:style>
  <w:style w:type="paragraph" w:customStyle="1" w:styleId="ListBulletLevel4">
    <w:name w:val="List Bullet (Level 4)"/>
    <w:basedOn w:val="Text1"/>
    <w:semiHidden/>
    <w:unhideWhenUsed/>
    <w:pPr>
      <w:numPr>
        <w:ilvl w:val="3"/>
        <w:numId w:val="2"/>
      </w:numPr>
    </w:pPr>
    <w:rPr>
      <w:lang w:eastAsia="en-GB"/>
    </w:rPr>
  </w:style>
  <w:style w:type="paragraph" w:customStyle="1" w:styleId="HistoryTable">
    <w:name w:val="HistoryTable"/>
    <w:basedOn w:val="Normale"/>
    <w:pPr>
      <w:spacing w:before="60" w:after="60" w:line="240" w:lineRule="auto"/>
    </w:pPr>
    <w:rPr>
      <w:rFonts w:ascii="Times New Roman" w:eastAsia="Times New Roman" w:hAnsi="Times New Roman" w:cs="Times New Roman"/>
      <w:sz w:val="20"/>
      <w:szCs w:val="20"/>
      <w:lang w:eastAsia="en-GB"/>
    </w:rPr>
  </w:style>
  <w:style w:type="paragraph" w:customStyle="1" w:styleId="ListDash4">
    <w:name w:val="List Dash 4"/>
    <w:basedOn w:val="Normale"/>
    <w:pPr>
      <w:numPr>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2">
    <w:name w:val="List Dash 4 (Level 2)"/>
    <w:basedOn w:val="Normale"/>
    <w:pPr>
      <w:numPr>
        <w:ilvl w:val="1"/>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3">
    <w:name w:val="List Dash 4 (Level 3)"/>
    <w:basedOn w:val="Normale"/>
    <w:semiHidden/>
    <w:unhideWhenUsed/>
    <w:pPr>
      <w:numPr>
        <w:ilvl w:val="2"/>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Normale"/>
    <w:semiHidden/>
    <w:unhideWhenUsed/>
    <w:pPr>
      <w:numPr>
        <w:ilvl w:val="3"/>
        <w:numId w:val="3"/>
      </w:numPr>
      <w:spacing w:after="240" w:line="240" w:lineRule="auto"/>
      <w:jc w:val="both"/>
    </w:pPr>
    <w:rPr>
      <w:rFonts w:ascii="Times New Roman" w:eastAsia="Times New Roman" w:hAnsi="Times New Roman" w:cs="Times New Roman"/>
      <w:sz w:val="24"/>
      <w:szCs w:val="20"/>
      <w:lang w:eastAsia="en-GB"/>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customStyle="1" w:styleId="FooterSensitivity">
    <w:name w:val="Footer Sensitivity"/>
    <w:basedOn w:val="Normale"/>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ext1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e"/>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ext1Char"/>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e"/>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ext1Char"/>
    <w:link w:val="HeaderSensitivityRight"/>
    <w:rPr>
      <w:rFonts w:ascii="Times New Roman" w:eastAsia="Times New Roman" w:hAnsi="Times New Roman" w:cs="Times New Roman"/>
      <w:sz w:val="28"/>
      <w:szCs w:val="20"/>
    </w:rPr>
  </w:style>
  <w:style w:type="paragraph" w:customStyle="1" w:styleId="Typedudocument">
    <w:name w:val="Type du document"/>
    <w:basedOn w:val="Normale"/>
    <w:next w:val="Normale"/>
    <w:pPr>
      <w:spacing w:before="360" w:after="0" w:line="240" w:lineRule="auto"/>
      <w:jc w:val="center"/>
    </w:pPr>
    <w:rPr>
      <w:rFonts w:ascii="Times New Roman" w:hAnsi="Times New Roman" w:cs="Times New Roman"/>
      <w:b/>
      <w:sz w:val="24"/>
    </w:rPr>
  </w:style>
  <w:style w:type="paragraph" w:customStyle="1" w:styleId="Accompagnant">
    <w:name w:val="Accompagnant"/>
    <w:basedOn w:val="Normale"/>
    <w:next w:val="Normale"/>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e"/>
    <w:next w:val="Normale"/>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e"/>
    <w:next w:val="Normale"/>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9979">
      <w:bodyDiv w:val="1"/>
      <w:marLeft w:val="0"/>
      <w:marRight w:val="0"/>
      <w:marTop w:val="0"/>
      <w:marBottom w:val="0"/>
      <w:divBdr>
        <w:top w:val="none" w:sz="0" w:space="0" w:color="auto"/>
        <w:left w:val="none" w:sz="0" w:space="0" w:color="auto"/>
        <w:bottom w:val="none" w:sz="0" w:space="0" w:color="auto"/>
        <w:right w:val="none" w:sz="0" w:space="0" w:color="auto"/>
      </w:divBdr>
    </w:div>
    <w:div w:id="256326094">
      <w:bodyDiv w:val="1"/>
      <w:marLeft w:val="0"/>
      <w:marRight w:val="0"/>
      <w:marTop w:val="0"/>
      <w:marBottom w:val="0"/>
      <w:divBdr>
        <w:top w:val="none" w:sz="0" w:space="0" w:color="auto"/>
        <w:left w:val="none" w:sz="0" w:space="0" w:color="auto"/>
        <w:bottom w:val="none" w:sz="0" w:space="0" w:color="auto"/>
        <w:right w:val="none" w:sz="0" w:space="0" w:color="auto"/>
      </w:divBdr>
    </w:div>
    <w:div w:id="367612219">
      <w:bodyDiv w:val="1"/>
      <w:marLeft w:val="0"/>
      <w:marRight w:val="0"/>
      <w:marTop w:val="0"/>
      <w:marBottom w:val="0"/>
      <w:divBdr>
        <w:top w:val="none" w:sz="0" w:space="0" w:color="auto"/>
        <w:left w:val="none" w:sz="0" w:space="0" w:color="auto"/>
        <w:bottom w:val="none" w:sz="0" w:space="0" w:color="auto"/>
        <w:right w:val="none" w:sz="0" w:space="0" w:color="auto"/>
      </w:divBdr>
    </w:div>
    <w:div w:id="10162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14F0-61D4-433A-B52B-981903DD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CoorCoGe</cp:lastModifiedBy>
  <cp:revision>2</cp:revision>
  <cp:lastPrinted>2019-12-06T17:24:00Z</cp:lastPrinted>
  <dcterms:created xsi:type="dcterms:W3CDTF">2019-12-23T22:22:00Z</dcterms:created>
  <dcterms:modified xsi:type="dcterms:W3CDTF">2019-12-23T22:22:00Z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_NewReviewCycle">
    <vt:lpwstr/>
  </property>
  <property fmtid="{D5CDD505-2E9C-101B-9397-08002B2CF9AE}" pid="8" name="Level of sensitivity">
    <vt:lpwstr>Standard treatment</vt:lpwstr>
  </property>
  <property fmtid="{D5CDD505-2E9C-101B-9397-08002B2CF9AE}" pid="9" name="Last edited using">
    <vt:lpwstr>LW 7.0, Build 20190717</vt:lpwstr>
  </property>
  <property fmtid="{D5CDD505-2E9C-101B-9397-08002B2CF9AE}" pid="10" name="Unique annex">
    <vt:lpwstr>1</vt:lpwstr>
  </property>
  <property fmtid="{D5CDD505-2E9C-101B-9397-08002B2CF9AE}" pid="11" name="CPTemplateID">
    <vt:lpwstr>CP-039</vt:lpwstr>
  </property>
</Properties>
</file>